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03"/>
        <w:gridCol w:w="2303"/>
        <w:gridCol w:w="1418"/>
        <w:gridCol w:w="1984"/>
        <w:gridCol w:w="1204"/>
        <w:tblGridChange w:id="0">
          <w:tblGrid>
            <w:gridCol w:w="2303"/>
            <w:gridCol w:w="2303"/>
            <w:gridCol w:w="1418"/>
            <w:gridCol w:w="1984"/>
            <w:gridCol w:w="1204"/>
          </w:tblGrid>
        </w:tblGridChange>
      </w:tblGrid>
      <w:tr>
        <w:trPr>
          <w:cantSplit w:val="0"/>
          <w:tblHeader w:val="0"/>
        </w:trPr>
        <w:tc>
          <w:tcPr>
            <w:gridSpan w:val="5"/>
            <w:tcBorders>
              <w:bottom w:color="000000" w:space="0" w:sz="4" w:val="single"/>
            </w:tcBorders>
            <w:shd w:fill="fff2cc" w:val="clear"/>
            <w:tcMar>
              <w:top w:w="57.0" w:type="dxa"/>
              <w:bottom w:w="57.0" w:type="dxa"/>
            </w:tcMar>
            <w:vAlign w:val="center"/>
          </w:tcPr>
          <w:p w:rsidR="00000000" w:rsidDel="00000000" w:rsidP="00000000" w:rsidRDefault="00000000" w:rsidRPr="00000000" w14:paraId="00000002">
            <w:pPr>
              <w:pageBreakBefore w:val="0"/>
              <w:rPr/>
            </w:pPr>
            <w:r w:rsidDel="00000000" w:rsidR="00000000" w:rsidRPr="00000000">
              <w:rPr>
                <w:b w:val="1"/>
                <w:rtl w:val="0"/>
              </w:rPr>
              <w:t xml:space="preserve">1. Course title: </w:t>
            </w:r>
            <w:r w:rsidDel="00000000" w:rsidR="00000000" w:rsidRPr="00000000">
              <w:rPr>
                <w:rtl w:val="0"/>
              </w:rPr>
              <w:t xml:space="preserve">Geomathematics and Geostatistics</w:t>
            </w:r>
          </w:p>
        </w:tc>
      </w:tr>
      <w:tr>
        <w:trPr>
          <w:cantSplit w:val="0"/>
          <w:tblHeader w:val="0"/>
        </w:trPr>
        <w:tc>
          <w:tcPr>
            <w:gridSpan w:val="2"/>
            <w:tcBorders>
              <w:top w:color="000000" w:space="0" w:sz="4" w:val="single"/>
            </w:tcBorders>
            <w:shd w:fill="ffff00" w:val="clear"/>
            <w:tcMar>
              <w:top w:w="57.0" w:type="dxa"/>
              <w:bottom w:w="57.0" w:type="dxa"/>
            </w:tcMar>
            <w:vAlign w:val="center"/>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 Code: </w:t>
            </w:r>
            <w:r w:rsidDel="00000000" w:rsidR="00000000" w:rsidRPr="00000000">
              <w:rPr>
                <w:rtl w:val="0"/>
              </w:rPr>
            </w:r>
          </w:p>
        </w:tc>
        <w:tc>
          <w:tcPr>
            <w:gridSpan w:val="3"/>
            <w:tcBorders>
              <w:top w:color="000000" w:space="0" w:sz="4" w:val="single"/>
            </w:tcBorders>
            <w:shd w:fill="fff2cc" w:val="clear"/>
            <w:tcMar>
              <w:top w:w="57.0" w:type="dxa"/>
              <w:bottom w:w="57.0" w:type="dxa"/>
            </w:tcMar>
            <w:vAlign w:val="center"/>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 Type (lecture, seminar, laboratory): </w:t>
            </w:r>
            <w:r w:rsidDel="00000000" w:rsidR="00000000" w:rsidRPr="00000000">
              <w:rPr>
                <w:rtl w:val="0"/>
              </w:rPr>
              <w:t xml:space="preserve">seminar</w:t>
            </w:r>
            <w:r w:rsidDel="00000000" w:rsidR="00000000" w:rsidRPr="00000000">
              <w:rPr>
                <w:rtl w:val="0"/>
              </w:rPr>
            </w:r>
          </w:p>
        </w:tc>
      </w:tr>
      <w:tr>
        <w:trPr>
          <w:cantSplit w:val="0"/>
          <w:tblHeader w:val="0"/>
        </w:trPr>
        <w:tc>
          <w:tcPr>
            <w:gridSpan w:val="2"/>
            <w:shd w:fill="fff2cc" w:val="clear"/>
            <w:tcMar>
              <w:top w:w="57.0" w:type="dxa"/>
              <w:bottom w:w="57.0" w:type="dxa"/>
            </w:tcMar>
            <w:vAlign w:val="center"/>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4. Total of contact hours: </w:t>
            </w:r>
            <w:r w:rsidDel="00000000" w:rsidR="00000000" w:rsidRPr="00000000">
              <w:rPr>
                <w:rtl w:val="0"/>
              </w:rPr>
              <w:t xml:space="preserve">39</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hours</w:t>
            </w:r>
            <w:r w:rsidDel="00000000" w:rsidR="00000000" w:rsidRPr="00000000">
              <w:rPr>
                <w:rtl w:val="0"/>
              </w:rPr>
            </w:r>
          </w:p>
        </w:tc>
        <w:tc>
          <w:tcPr>
            <w:gridSpan w:val="3"/>
            <w:shd w:fill="fff2cc" w:val="clear"/>
            <w:tcMar>
              <w:top w:w="57.0" w:type="dxa"/>
              <w:bottom w:w="57.0" w:type="dxa"/>
            </w:tcMar>
            <w:vAlign w:val="center"/>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5. Number of credits (ECTS): </w:t>
            </w:r>
            <w:r w:rsidDel="00000000" w:rsidR="00000000" w:rsidRPr="00000000">
              <w:rPr>
                <w:rtl w:val="0"/>
              </w:rPr>
              <w:t xml:space="preserve">4</w:t>
            </w:r>
            <w:r w:rsidDel="00000000" w:rsidR="00000000" w:rsidRPr="00000000">
              <w:rPr>
                <w:rtl w:val="0"/>
              </w:rPr>
            </w:r>
          </w:p>
        </w:tc>
      </w:tr>
      <w:tr>
        <w:trPr>
          <w:cantSplit w:val="0"/>
          <w:tblHeader w:val="0"/>
        </w:trPr>
        <w:tc>
          <w:tcPr>
            <w:gridSpan w:val="5"/>
            <w:shd w:fill="fff2cc" w:val="clear"/>
            <w:tcMar>
              <w:top w:w="57.0" w:type="dxa"/>
              <w:bottom w:w="57.0" w:type="dxa"/>
            </w:tcMar>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6. Pre-requisites (max. 3):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none</w:t>
            </w: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7. Announced: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autumn semester, ☐ spring semester, ☐ both semesters</w:t>
            </w:r>
          </w:p>
        </w:tc>
      </w:tr>
      <w:tr>
        <w:trPr>
          <w:cantSplit w:val="0"/>
          <w:tblHeader w:val="0"/>
        </w:trPr>
        <w:tc>
          <w:tcPr>
            <w:gridSpan w:val="5"/>
            <w:tcMar>
              <w:top w:w="57.0" w:type="dxa"/>
              <w:bottom w:w="57.0" w:type="dxa"/>
            </w:tcMar>
            <w:vAlign w:val="center"/>
          </w:tcPr>
          <w:p w:rsidR="00000000" w:rsidDel="00000000" w:rsidP="00000000" w:rsidRDefault="00000000" w:rsidRPr="00000000" w14:paraId="0000001B">
            <w:pPr>
              <w:pageBreakBefore w:val="0"/>
              <w:rPr/>
            </w:pPr>
            <w:r w:rsidDel="00000000" w:rsidR="00000000" w:rsidRPr="00000000">
              <w:rPr>
                <w:b w:val="1"/>
                <w:rtl w:val="0"/>
              </w:rPr>
              <w:t xml:space="preserve">8. Limit for participants:</w:t>
            </w:r>
            <w:r w:rsidDel="00000000" w:rsidR="00000000" w:rsidRPr="00000000">
              <w:rPr>
                <w:rtl w:val="0"/>
              </w:rPr>
              <w:t xml:space="preserve"> 24 /group</w:t>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10. Instructor-in-charge (faculty, institute and department):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708"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István GERESDI</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PhD (FS, Institute of Geography, Department of </w:t>
            </w:r>
            <w:r w:rsidDel="00000000" w:rsidR="00000000" w:rsidRPr="00000000">
              <w:rPr>
                <w:rtl w:val="0"/>
              </w:rPr>
              <w:t xml:space="preserve"> Geology and Meteorology)</w:t>
            </w:r>
            <w:r w:rsidDel="00000000" w:rsidR="00000000" w:rsidRPr="00000000">
              <w:rPr>
                <w:rtl w:val="0"/>
              </w:rPr>
            </w:r>
          </w:p>
        </w:tc>
      </w:tr>
      <w:tr>
        <w:trPr>
          <w:cantSplit w:val="0"/>
          <w:tblHeader w:val="0"/>
        </w:trPr>
        <w:tc>
          <w:tcPr>
            <w:gridSpan w:val="2"/>
            <w:vMerge w:val="restart"/>
            <w:tcMar>
              <w:top w:w="57.0" w:type="dxa"/>
              <w:bottom w:w="57.0" w:type="dxa"/>
            </w:tcMar>
            <w:vAlign w:val="cente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11. Instructor(s) and percentage: </w:t>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István GERESDI</w:t>
            </w: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10</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Noémi SARKADI</w:t>
            </w: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30%</w:t>
            </w:r>
            <w:r w:rsidDel="00000000" w:rsidR="00000000" w:rsidRPr="00000000">
              <w:rPr>
                <w:rtl w:val="0"/>
              </w:rPr>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Levente B. ALPEK</w:t>
            </w: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30%</w:t>
            </w:r>
            <w:r w:rsidDel="00000000" w:rsidR="00000000" w:rsidRPr="00000000">
              <w:rPr>
                <w:rtl w:val="0"/>
              </w:rPr>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Gabriella SCHMELLER</w:t>
            </w: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30%</w:t>
            </w: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3A">
            <w:pPr>
              <w:pageBreakBefore w:val="0"/>
              <w:rPr>
                <w:b w:val="1"/>
              </w:rPr>
            </w:pPr>
            <w:r w:rsidDel="00000000" w:rsidR="00000000" w:rsidRPr="00000000">
              <w:rPr>
                <w:b w:val="1"/>
                <w:rtl w:val="0"/>
              </w:rPr>
              <w:t xml:space="preserve">12. Language: </w:t>
            </w:r>
            <w:r w:rsidDel="00000000" w:rsidR="00000000" w:rsidRPr="00000000">
              <w:rPr>
                <w:rtl w:val="0"/>
              </w:rPr>
              <w:t xml:space="preserve">English</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13. Course objectives and learning outcomes: </w:t>
            </w:r>
          </w:p>
          <w:p w:rsidR="00000000" w:rsidDel="00000000" w:rsidP="00000000" w:rsidRDefault="00000000" w:rsidRPr="00000000" w14:paraId="00000040">
            <w:pPr>
              <w:pageBreakBefore w:val="0"/>
              <w:rPr>
                <w:rFonts w:ascii="Old Standard TT" w:cs="Old Standard TT" w:eastAsia="Old Standard TT" w:hAnsi="Old Standard TT"/>
              </w:rPr>
            </w:pPr>
            <w:r w:rsidDel="00000000" w:rsidR="00000000" w:rsidRPr="00000000">
              <w:rPr>
                <w:rFonts w:ascii="Old Standard TT" w:cs="Old Standard TT" w:eastAsia="Old Standard TT" w:hAnsi="Old Standard TT"/>
                <w:rtl w:val="0"/>
              </w:rPr>
              <w:t xml:space="preserve">Aims: </w:t>
            </w:r>
          </w:p>
          <w:p w:rsidR="00000000" w:rsidDel="00000000" w:rsidP="00000000" w:rsidRDefault="00000000" w:rsidRPr="00000000" w14:paraId="00000041">
            <w:pPr>
              <w:pageBreakBefore w:val="0"/>
              <w:rPr>
                <w:rFonts w:ascii="Old Standard TT" w:cs="Old Standard TT" w:eastAsia="Old Standard TT" w:hAnsi="Old Standard TT"/>
              </w:rPr>
            </w:pPr>
            <w:r w:rsidDel="00000000" w:rsidR="00000000" w:rsidRPr="00000000">
              <w:rPr>
                <w:rFonts w:ascii="Old Standard TT" w:cs="Old Standard TT" w:eastAsia="Old Standard TT" w:hAnsi="Old Standard TT"/>
                <w:rtl w:val="0"/>
              </w:rPr>
              <w:t xml:space="preserve">1. To provide an understanding and knowledge of basic mathematical and statistical methods</w:t>
            </w:r>
          </w:p>
          <w:p w:rsidR="00000000" w:rsidDel="00000000" w:rsidP="00000000" w:rsidRDefault="00000000" w:rsidRPr="00000000" w14:paraId="00000042">
            <w:pPr>
              <w:pageBreakBefore w:val="0"/>
              <w:rPr>
                <w:rFonts w:ascii="Old Standard TT" w:cs="Old Standard TT" w:eastAsia="Old Standard TT" w:hAnsi="Old Standard TT"/>
              </w:rPr>
            </w:pPr>
            <w:r w:rsidDel="00000000" w:rsidR="00000000" w:rsidRPr="00000000">
              <w:rPr>
                <w:rFonts w:ascii="Old Standard TT" w:cs="Old Standard TT" w:eastAsia="Old Standard TT" w:hAnsi="Old Standard TT"/>
                <w:rtl w:val="0"/>
              </w:rPr>
              <w:t xml:space="preserve">2. To provide a routine in the solution of the simpler mathematical and statistical problem related to the earth sciences</w:t>
            </w:r>
          </w:p>
          <w:p w:rsidR="00000000" w:rsidDel="00000000" w:rsidP="00000000" w:rsidRDefault="00000000" w:rsidRPr="00000000" w14:paraId="00000043">
            <w:pPr>
              <w:pageBreakBefore w:val="0"/>
              <w:rPr>
                <w:rFonts w:ascii="Old Standard TT" w:cs="Old Standard TT" w:eastAsia="Old Standard TT" w:hAnsi="Old Standard TT"/>
              </w:rPr>
            </w:pPr>
            <w:r w:rsidDel="00000000" w:rsidR="00000000" w:rsidRPr="00000000">
              <w:rPr>
                <w:rFonts w:ascii="Old Standard TT" w:cs="Old Standard TT" w:eastAsia="Old Standard TT" w:hAnsi="Old Standard TT"/>
                <w:rtl w:val="0"/>
              </w:rPr>
              <w:t xml:space="preserve">Knowledge: </w:t>
            </w:r>
          </w:p>
          <w:p w:rsidR="00000000" w:rsidDel="00000000" w:rsidP="00000000" w:rsidRDefault="00000000" w:rsidRPr="00000000" w14:paraId="00000044">
            <w:pPr>
              <w:pageBreakBefore w:val="0"/>
              <w:rPr>
                <w:rFonts w:ascii="Old Standard TT" w:cs="Old Standard TT" w:eastAsia="Old Standard TT" w:hAnsi="Old Standard TT"/>
                <w:i w:val="1"/>
              </w:rPr>
            </w:pPr>
            <w:r w:rsidDel="00000000" w:rsidR="00000000" w:rsidRPr="00000000">
              <w:rPr>
                <w:rFonts w:ascii="Old Standard TT" w:cs="Old Standard TT" w:eastAsia="Old Standard TT" w:hAnsi="Old Standard TT"/>
                <w:rtl w:val="0"/>
              </w:rPr>
              <w:t xml:space="preserve">On successful completion of this course students are able to apply basics mathematical and statistical tools</w:t>
            </w:r>
            <w:r w:rsidDel="00000000" w:rsidR="00000000" w:rsidRPr="00000000">
              <w:rPr>
                <w:rFonts w:ascii="Old Standard TT" w:cs="Old Standard TT" w:eastAsia="Old Standard TT" w:hAnsi="Old Standard TT"/>
                <w:i w:val="1"/>
                <w:rtl w:val="0"/>
              </w:rPr>
              <w:t xml:space="preserve">.  </w:t>
            </w:r>
          </w:p>
          <w:p w:rsidR="00000000" w:rsidDel="00000000" w:rsidP="00000000" w:rsidRDefault="00000000" w:rsidRPr="00000000" w14:paraId="00000045">
            <w:pPr>
              <w:pageBreakBefore w:val="0"/>
              <w:rPr>
                <w:rFonts w:ascii="Old Standard TT" w:cs="Old Standard TT" w:eastAsia="Old Standard TT" w:hAnsi="Old Standard TT"/>
              </w:rPr>
            </w:pPr>
            <w:r w:rsidDel="00000000" w:rsidR="00000000" w:rsidRPr="00000000">
              <w:rPr>
                <w:rFonts w:ascii="Old Standard TT" w:cs="Old Standard TT" w:eastAsia="Old Standard TT" w:hAnsi="Old Standard TT"/>
                <w:rtl w:val="0"/>
              </w:rPr>
              <w:t xml:space="preserve">Subject-specific skills:</w:t>
            </w:r>
          </w:p>
          <w:p w:rsidR="00000000" w:rsidDel="00000000" w:rsidP="00000000" w:rsidRDefault="00000000" w:rsidRPr="00000000" w14:paraId="00000046">
            <w:pPr>
              <w:pageBreakBefore w:val="0"/>
              <w:rPr>
                <w:rFonts w:ascii="Old Standard TT" w:cs="Old Standard TT" w:eastAsia="Old Standard TT" w:hAnsi="Old Standard TT"/>
                <w:i w:val="1"/>
              </w:rPr>
            </w:pPr>
            <w:r w:rsidDel="00000000" w:rsidR="00000000" w:rsidRPr="00000000">
              <w:rPr>
                <w:rFonts w:ascii="Old Standard TT" w:cs="Old Standard TT" w:eastAsia="Old Standard TT" w:hAnsi="Old Standard TT"/>
                <w:i w:val="1"/>
                <w:rtl w:val="0"/>
              </w:rPr>
              <w:t xml:space="preserve">On successful completion of the course students are expected to be able to solve simpler mathematical problems and  accomplish statistical analysis at basics level.</w:t>
            </w:r>
          </w:p>
          <w:p w:rsidR="00000000" w:rsidDel="00000000" w:rsidP="00000000" w:rsidRDefault="00000000" w:rsidRPr="00000000" w14:paraId="00000047">
            <w:pPr>
              <w:pageBreakBefore w:val="0"/>
              <w:rPr>
                <w:rFonts w:ascii="Old Standard TT" w:cs="Old Standard TT" w:eastAsia="Old Standard TT" w:hAnsi="Old Standard TT"/>
                <w:i w:val="1"/>
              </w:rPr>
            </w:pP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14. Course outline / Milestones</w:t>
            </w:r>
          </w:p>
          <w:p w:rsidR="00000000" w:rsidDel="00000000" w:rsidP="00000000" w:rsidRDefault="00000000" w:rsidRPr="00000000" w14:paraId="0000004D">
            <w:pPr>
              <w:pageBreakBefore w:val="0"/>
              <w:widowControl w:val="0"/>
              <w:numPr>
                <w:ilvl w:val="0"/>
                <w:numId w:val="2"/>
              </w:numPr>
              <w:jc w:val="both"/>
              <w:rPr/>
            </w:pPr>
            <w:r w:rsidDel="00000000" w:rsidR="00000000" w:rsidRPr="00000000">
              <w:rPr>
                <w:rtl w:val="0"/>
              </w:rPr>
              <w:t xml:space="preserve">Sets,   types of number sets</w:t>
            </w:r>
          </w:p>
          <w:p w:rsidR="00000000" w:rsidDel="00000000" w:rsidP="00000000" w:rsidRDefault="00000000" w:rsidRPr="00000000" w14:paraId="0000004E">
            <w:pPr>
              <w:pageBreakBefore w:val="0"/>
              <w:widowControl w:val="0"/>
              <w:numPr>
                <w:ilvl w:val="0"/>
                <w:numId w:val="2"/>
              </w:numPr>
              <w:jc w:val="both"/>
              <w:rPr/>
            </w:pPr>
            <w:r w:rsidDel="00000000" w:rsidR="00000000" w:rsidRPr="00000000">
              <w:rPr>
                <w:rtl w:val="0"/>
              </w:rPr>
              <w:t xml:space="preserve">Powers, roots, logarithm laws</w:t>
            </w:r>
          </w:p>
          <w:p w:rsidR="00000000" w:rsidDel="00000000" w:rsidP="00000000" w:rsidRDefault="00000000" w:rsidRPr="00000000" w14:paraId="0000004F">
            <w:pPr>
              <w:pageBreakBefore w:val="0"/>
              <w:widowControl w:val="0"/>
              <w:numPr>
                <w:ilvl w:val="0"/>
                <w:numId w:val="2"/>
              </w:numPr>
              <w:jc w:val="both"/>
              <w:rPr/>
            </w:pPr>
            <w:r w:rsidDel="00000000" w:rsidR="00000000" w:rsidRPr="00000000">
              <w:rPr>
                <w:rtl w:val="0"/>
              </w:rPr>
              <w:t xml:space="preserve">Solving linear and quadratic equations and inequalities (I).  </w:t>
            </w:r>
          </w:p>
          <w:p w:rsidR="00000000" w:rsidDel="00000000" w:rsidP="00000000" w:rsidRDefault="00000000" w:rsidRPr="00000000" w14:paraId="00000050">
            <w:pPr>
              <w:pageBreakBefore w:val="0"/>
              <w:widowControl w:val="0"/>
              <w:numPr>
                <w:ilvl w:val="0"/>
                <w:numId w:val="2"/>
              </w:numPr>
              <w:jc w:val="both"/>
              <w:rPr/>
            </w:pPr>
            <w:r w:rsidDel="00000000" w:rsidR="00000000" w:rsidRPr="00000000">
              <w:rPr>
                <w:rtl w:val="0"/>
              </w:rPr>
              <w:t xml:space="preserve"> Solving linear and quadratic equations and inequalities (II.)  and definition of functions </w:t>
            </w:r>
          </w:p>
          <w:p w:rsidR="00000000" w:rsidDel="00000000" w:rsidP="00000000" w:rsidRDefault="00000000" w:rsidRPr="00000000" w14:paraId="00000051">
            <w:pPr>
              <w:pageBreakBefore w:val="0"/>
              <w:widowControl w:val="0"/>
              <w:numPr>
                <w:ilvl w:val="0"/>
                <w:numId w:val="2"/>
              </w:numPr>
              <w:jc w:val="both"/>
              <w:rPr/>
            </w:pPr>
            <w:r w:rsidDel="00000000" w:rsidR="00000000" w:rsidRPr="00000000">
              <w:rPr>
                <w:rtl w:val="0"/>
              </w:rPr>
              <w:t xml:space="preserve">Trigonometry, application of trigonometry in earth science </w:t>
            </w:r>
          </w:p>
          <w:p w:rsidR="00000000" w:rsidDel="00000000" w:rsidP="00000000" w:rsidRDefault="00000000" w:rsidRPr="00000000" w14:paraId="00000052">
            <w:pPr>
              <w:pageBreakBefore w:val="0"/>
              <w:widowControl w:val="0"/>
              <w:numPr>
                <w:ilvl w:val="0"/>
                <w:numId w:val="2"/>
              </w:numPr>
              <w:jc w:val="both"/>
              <w:rPr/>
            </w:pPr>
            <w:r w:rsidDel="00000000" w:rsidR="00000000" w:rsidRPr="00000000">
              <w:rPr>
                <w:rtl w:val="0"/>
              </w:rPr>
              <w:t xml:space="preserve">Geometry in 2D and 3D, spherical geometry, Pythagoras law. </w:t>
            </w:r>
          </w:p>
          <w:p w:rsidR="00000000" w:rsidDel="00000000" w:rsidP="00000000" w:rsidRDefault="00000000" w:rsidRPr="00000000" w14:paraId="00000053">
            <w:pPr>
              <w:pageBreakBefore w:val="0"/>
              <w:widowControl w:val="0"/>
              <w:numPr>
                <w:ilvl w:val="0"/>
                <w:numId w:val="2"/>
              </w:numPr>
              <w:jc w:val="both"/>
              <w:rPr/>
            </w:pPr>
            <w:r w:rsidDel="00000000" w:rsidR="00000000" w:rsidRPr="00000000">
              <w:rPr>
                <w:rtl w:val="0"/>
              </w:rPr>
              <w:t xml:space="preserve">1st  midterm exam </w:t>
            </w:r>
          </w:p>
          <w:p w:rsidR="00000000" w:rsidDel="00000000" w:rsidP="00000000" w:rsidRDefault="00000000" w:rsidRPr="00000000" w14:paraId="00000054">
            <w:pPr>
              <w:pageBreakBefore w:val="0"/>
              <w:widowControl w:val="0"/>
              <w:numPr>
                <w:ilvl w:val="0"/>
                <w:numId w:val="2"/>
              </w:numPr>
              <w:jc w:val="both"/>
              <w:rPr/>
            </w:pPr>
            <w:r w:rsidDel="00000000" w:rsidR="00000000" w:rsidRPr="00000000">
              <w:rPr>
                <w:rtl w:val="0"/>
              </w:rPr>
              <w:t xml:space="preserve">Coordinate geometry </w:t>
            </w:r>
          </w:p>
          <w:p w:rsidR="00000000" w:rsidDel="00000000" w:rsidP="00000000" w:rsidRDefault="00000000" w:rsidRPr="00000000" w14:paraId="00000055">
            <w:pPr>
              <w:pageBreakBefore w:val="0"/>
              <w:widowControl w:val="0"/>
              <w:numPr>
                <w:ilvl w:val="0"/>
                <w:numId w:val="2"/>
              </w:numPr>
              <w:jc w:val="both"/>
              <w:rPr/>
            </w:pPr>
            <w:r w:rsidDel="00000000" w:rsidR="00000000" w:rsidRPr="00000000">
              <w:rPr>
                <w:rtl w:val="0"/>
              </w:rPr>
              <w:t xml:space="preserve">Basics of logics, combinatorics probability theory </w:t>
            </w:r>
          </w:p>
          <w:p w:rsidR="00000000" w:rsidDel="00000000" w:rsidP="00000000" w:rsidRDefault="00000000" w:rsidRPr="00000000" w14:paraId="00000056">
            <w:pPr>
              <w:pageBreakBefore w:val="0"/>
              <w:widowControl w:val="0"/>
              <w:numPr>
                <w:ilvl w:val="0"/>
                <w:numId w:val="2"/>
              </w:numPr>
              <w:jc w:val="both"/>
              <w:rPr/>
            </w:pPr>
            <w:r w:rsidDel="00000000" w:rsidR="00000000" w:rsidRPr="00000000">
              <w:rPr>
                <w:rtl w:val="0"/>
              </w:rPr>
              <w:t xml:space="preserve">Most frequently applied probability distributions – Bernoulli, uniform, binomial, Poisson, geometrical, normal </w:t>
            </w:r>
          </w:p>
          <w:p w:rsidR="00000000" w:rsidDel="00000000" w:rsidP="00000000" w:rsidRDefault="00000000" w:rsidRPr="00000000" w14:paraId="00000057">
            <w:pPr>
              <w:pageBreakBefore w:val="0"/>
              <w:widowControl w:val="0"/>
              <w:numPr>
                <w:ilvl w:val="0"/>
                <w:numId w:val="2"/>
              </w:numPr>
              <w:jc w:val="both"/>
              <w:rPr/>
            </w:pPr>
            <w:r w:rsidDel="00000000" w:rsidR="00000000" w:rsidRPr="00000000">
              <w:rPr>
                <w:rtl w:val="0"/>
              </w:rPr>
              <w:t xml:space="preserve">Mean, weighted mean, standard deviation, median, mode</w:t>
            </w:r>
          </w:p>
          <w:p w:rsidR="00000000" w:rsidDel="00000000" w:rsidP="00000000" w:rsidRDefault="00000000" w:rsidRPr="00000000" w14:paraId="00000058">
            <w:pPr>
              <w:pageBreakBefore w:val="0"/>
              <w:widowControl w:val="0"/>
              <w:numPr>
                <w:ilvl w:val="0"/>
                <w:numId w:val="2"/>
              </w:numPr>
              <w:jc w:val="both"/>
              <w:rPr/>
            </w:pPr>
            <w:r w:rsidDel="00000000" w:rsidR="00000000" w:rsidRPr="00000000">
              <w:rPr>
                <w:rtl w:val="0"/>
              </w:rPr>
              <w:t xml:space="preserve">Plotting of empirical cumulative density function and  empirical distribution (histogram) </w:t>
            </w:r>
          </w:p>
          <w:p w:rsidR="00000000" w:rsidDel="00000000" w:rsidP="00000000" w:rsidRDefault="00000000" w:rsidRPr="00000000" w14:paraId="00000059">
            <w:pPr>
              <w:pageBreakBefore w:val="0"/>
              <w:widowControl w:val="0"/>
              <w:numPr>
                <w:ilvl w:val="0"/>
                <w:numId w:val="2"/>
              </w:numPr>
              <w:jc w:val="both"/>
              <w:rPr/>
            </w:pPr>
            <w:r w:rsidDel="00000000" w:rsidR="00000000" w:rsidRPr="00000000">
              <w:rPr>
                <w:rtl w:val="0"/>
              </w:rPr>
              <w:t xml:space="preserve">2nd  midterm exam</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276"/>
              </w:tabs>
              <w:spacing w:after="0" w:before="0" w:line="240" w:lineRule="auto"/>
              <w:ind w:right="0"/>
              <w:jc w:val="both"/>
              <w:rPr/>
            </w:pPr>
            <w:r w:rsidDel="00000000" w:rsidR="00000000" w:rsidRPr="00000000">
              <w:rPr>
                <w:rtl w:val="0"/>
              </w:rPr>
            </w:r>
          </w:p>
          <w:p w:rsidR="00000000" w:rsidDel="00000000" w:rsidP="00000000" w:rsidRDefault="00000000" w:rsidRPr="00000000" w14:paraId="0000005B">
            <w:pPr>
              <w:pageBreakBefore w:val="0"/>
              <w:tabs>
                <w:tab w:val="left" w:pos="1276"/>
              </w:tabs>
              <w:ind w:left="1276" w:hanging="992"/>
              <w:rPr/>
            </w:pP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60">
            <w:pPr>
              <w:pageBreakBefore w:val="0"/>
              <w:rPr/>
            </w:pPr>
            <w:r w:rsidDel="00000000" w:rsidR="00000000" w:rsidRPr="00000000">
              <w:rPr>
                <w:b w:val="1"/>
                <w:rtl w:val="0"/>
              </w:rPr>
              <w:t xml:space="preserve">15. Mid-semester works</w:t>
            </w: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9"/>
              </w:tabs>
              <w:spacing w:after="0" w:before="0" w:line="240" w:lineRule="auto"/>
              <w:ind w:left="0" w:right="0" w:firstLine="0"/>
              <w:jc w:val="both"/>
              <w:rPr/>
            </w:pPr>
            <w:r w:rsidDel="00000000" w:rsidR="00000000" w:rsidRPr="00000000">
              <w:rPr>
                <w:sz w:val="22"/>
                <w:szCs w:val="22"/>
                <w:rtl w:val="0"/>
              </w:rPr>
              <w:t xml:space="preserve">Week 1: </w:t>
            </w:r>
            <w:r w:rsidDel="00000000" w:rsidR="00000000" w:rsidRPr="00000000">
              <w:rPr>
                <w:rtl w:val="0"/>
              </w:rPr>
              <w:t xml:space="preserve">I. midterm exam </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9"/>
              </w:tabs>
              <w:spacing w:after="0" w:before="0" w:line="240" w:lineRule="auto"/>
              <w:ind w:left="0" w:right="0" w:firstLine="0"/>
              <w:jc w:val="both"/>
              <w:rPr/>
            </w:pPr>
            <w:r w:rsidDel="00000000" w:rsidR="00000000" w:rsidRPr="00000000">
              <w:rPr>
                <w:rtl w:val="0"/>
              </w:rPr>
              <w:t xml:space="preserve">week 2:   II. midterm exam</w:t>
            </w: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67">
            <w:pPr>
              <w:pageBreakBefore w:val="0"/>
              <w:rPr>
                <w:b w:val="1"/>
              </w:rPr>
            </w:pPr>
            <w:r w:rsidDel="00000000" w:rsidR="00000000" w:rsidRPr="00000000">
              <w:rPr>
                <w:b w:val="1"/>
                <w:rtl w:val="0"/>
              </w:rPr>
              <w:t xml:space="preserve">16. Summative assessment, formative assessment </w:t>
            </w:r>
          </w:p>
          <w:p w:rsidR="00000000" w:rsidDel="00000000" w:rsidP="00000000" w:rsidRDefault="00000000" w:rsidRPr="00000000" w14:paraId="00000068">
            <w:pPr>
              <w:pageBreakBefore w:val="0"/>
              <w:ind w:left="142" w:firstLine="0"/>
              <w:rPr/>
            </w:pPr>
            <w:r w:rsidDel="00000000" w:rsidR="00000000" w:rsidRPr="00000000">
              <w:rPr>
                <w:rtl w:val="0"/>
              </w:rPr>
              <w:t xml:space="preserve">Evaluation is based on homework points, one midterm exam on week 7 and one final written exam at the end of the semester. Exams: both theory and calculations. Calculator and equation card (prepared individually by the students) are required. The approximate ranges are the followings: </w:t>
            </w:r>
          </w:p>
          <w:p w:rsidR="00000000" w:rsidDel="00000000" w:rsidP="00000000" w:rsidRDefault="00000000" w:rsidRPr="00000000" w14:paraId="00000069">
            <w:pPr>
              <w:pageBreakBefore w:val="0"/>
              <w:ind w:left="142" w:firstLine="0"/>
              <w:rPr/>
            </w:pPr>
            <w:r w:rsidDel="00000000" w:rsidR="00000000" w:rsidRPr="00000000">
              <w:rPr>
                <w:rtl w:val="0"/>
              </w:rPr>
              <w:t xml:space="preserve">just less than </w:t>
            </w:r>
          </w:p>
          <w:p w:rsidR="00000000" w:rsidDel="00000000" w:rsidP="00000000" w:rsidRDefault="00000000" w:rsidRPr="00000000" w14:paraId="0000006A">
            <w:pPr>
              <w:pageBreakBefore w:val="0"/>
              <w:ind w:left="142" w:firstLine="0"/>
              <w:rPr/>
            </w:pPr>
            <w:r w:rsidDel="00000000" w:rsidR="00000000" w:rsidRPr="00000000">
              <w:rPr>
                <w:rtl w:val="0"/>
              </w:rPr>
              <w:t xml:space="preserve">less than 50% = 1</w:t>
            </w:r>
          </w:p>
          <w:p w:rsidR="00000000" w:rsidDel="00000000" w:rsidP="00000000" w:rsidRDefault="00000000" w:rsidRPr="00000000" w14:paraId="0000006B">
            <w:pPr>
              <w:pageBreakBefore w:val="0"/>
              <w:ind w:left="142" w:firstLine="0"/>
              <w:rPr/>
            </w:pPr>
            <w:r w:rsidDel="00000000" w:rsidR="00000000" w:rsidRPr="00000000">
              <w:rPr>
                <w:rtl w:val="0"/>
              </w:rPr>
              <w:t xml:space="preserve">50 to 59.99 % = 2</w:t>
            </w:r>
          </w:p>
          <w:p w:rsidR="00000000" w:rsidDel="00000000" w:rsidP="00000000" w:rsidRDefault="00000000" w:rsidRPr="00000000" w14:paraId="0000006C">
            <w:pPr>
              <w:pageBreakBefore w:val="0"/>
              <w:ind w:left="142" w:firstLine="0"/>
              <w:rPr/>
            </w:pPr>
            <w:r w:rsidDel="00000000" w:rsidR="00000000" w:rsidRPr="00000000">
              <w:rPr>
                <w:rtl w:val="0"/>
              </w:rPr>
              <w:t xml:space="preserve">60 to 74.99% = 3</w:t>
            </w:r>
          </w:p>
          <w:p w:rsidR="00000000" w:rsidDel="00000000" w:rsidP="00000000" w:rsidRDefault="00000000" w:rsidRPr="00000000" w14:paraId="0000006D">
            <w:pPr>
              <w:pageBreakBefore w:val="0"/>
              <w:ind w:left="142" w:firstLine="0"/>
              <w:rPr/>
            </w:pPr>
            <w:r w:rsidDel="00000000" w:rsidR="00000000" w:rsidRPr="00000000">
              <w:rPr>
                <w:rtl w:val="0"/>
              </w:rPr>
              <w:t xml:space="preserve">75 to 84.99% = 4</w:t>
            </w:r>
          </w:p>
          <w:p w:rsidR="00000000" w:rsidDel="00000000" w:rsidP="00000000" w:rsidRDefault="00000000" w:rsidRPr="00000000" w14:paraId="0000006E">
            <w:pPr>
              <w:pageBreakBefore w:val="0"/>
              <w:ind w:left="142" w:firstLine="0"/>
              <w:rPr/>
            </w:pPr>
            <w:r w:rsidDel="00000000" w:rsidR="00000000" w:rsidRPr="00000000">
              <w:rPr>
                <w:rtl w:val="0"/>
              </w:rPr>
              <w:t xml:space="preserve">85+% = 5</w:t>
            </w:r>
          </w:p>
          <w:p w:rsidR="00000000" w:rsidDel="00000000" w:rsidP="00000000" w:rsidRDefault="00000000" w:rsidRPr="00000000" w14:paraId="0000006F">
            <w:pPr>
              <w:pageBreakBefore w:val="0"/>
              <w:ind w:left="142" w:firstLine="0"/>
              <w:rPr/>
            </w:pPr>
            <w:r w:rsidDel="00000000" w:rsidR="00000000" w:rsidRPr="00000000">
              <w:rPr>
                <w:rtl w:val="0"/>
              </w:rPr>
              <w:t xml:space="preserve">Attendance at all activities will be monitored. Students who fail to attend the activities, or to complete the summative or formative assessment specified above, will not gain the credit for the course.</w:t>
            </w:r>
          </w:p>
          <w:p w:rsidR="00000000" w:rsidDel="00000000" w:rsidP="00000000" w:rsidRDefault="00000000" w:rsidRPr="00000000" w14:paraId="00000070">
            <w:pPr>
              <w:pageBreakBefore w:val="0"/>
              <w:ind w:left="142" w:firstLine="0"/>
              <w:rPr/>
            </w:pPr>
            <w:r w:rsidDel="00000000" w:rsidR="00000000" w:rsidRPr="00000000">
              <w:rPr>
                <w:rtl w:val="0"/>
              </w:rPr>
              <w:t xml:space="preserve">Correction of the midterm </w:t>
            </w:r>
          </w:p>
        </w:tc>
      </w:tr>
      <w:tr>
        <w:trPr>
          <w:cantSplit w:val="0"/>
          <w:tblHeader w:val="0"/>
        </w:trPr>
        <w:tc>
          <w:tcPr>
            <w:gridSpan w:val="5"/>
            <w:tcMar>
              <w:top w:w="57.0" w:type="dxa"/>
              <w:bottom w:w="57.0" w:type="dxa"/>
            </w:tcMar>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17. Reading assignments:</w:t>
            </w:r>
          </w:p>
          <w:p w:rsidR="00000000" w:rsidDel="00000000" w:rsidP="00000000" w:rsidRDefault="00000000" w:rsidRPr="00000000" w14:paraId="00000076">
            <w:pPr>
              <w:pageBreakBefore w:val="0"/>
              <w:numPr>
                <w:ilvl w:val="0"/>
                <w:numId w:val="1"/>
              </w:numPr>
              <w:ind w:left="720" w:hanging="360"/>
              <w:rPr/>
            </w:pPr>
            <w:r w:rsidDel="00000000" w:rsidR="00000000" w:rsidRPr="00000000">
              <w:rPr>
                <w:rtl w:val="0"/>
              </w:rPr>
              <w:t xml:space="preserve">Palmer: Essential Maths for Geoscience, WILEY, p 204</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18. Recommended texts: </w:t>
            </w:r>
          </w:p>
        </w:tc>
      </w:tr>
      <w:tr>
        <w:trPr>
          <w:cantSplit w:val="0"/>
          <w:tblHeader w:val="0"/>
        </w:trPr>
        <w:tc>
          <w:tcPr>
            <w:vMerge w:val="restart"/>
            <w:tcMar>
              <w:top w:w="57.0" w:type="dxa"/>
              <w:bottom w:w="57.0" w:type="dxa"/>
            </w:tcMar>
            <w:vAlign w:val="bottom"/>
          </w:tcPr>
          <w:p w:rsidR="00000000" w:rsidDel="00000000" w:rsidP="00000000" w:rsidRDefault="00000000" w:rsidRPr="00000000" w14:paraId="00000080">
            <w:pPr>
              <w:pageBreakBefore w:val="0"/>
              <w:rPr>
                <w:b w:val="1"/>
              </w:rPr>
            </w:pPr>
            <w:r w:rsidDel="00000000" w:rsidR="00000000" w:rsidRPr="00000000">
              <w:rPr>
                <w:b w:val="1"/>
                <w:rtl w:val="0"/>
              </w:rPr>
              <w:t xml:space="preserve">Date </w:t>
            </w:r>
          </w:p>
        </w:tc>
        <w:tc>
          <w:tcPr>
            <w:vMerge w:val="restart"/>
            <w:tcMar>
              <w:top w:w="57.0" w:type="dxa"/>
              <w:bottom w:w="57.0" w:type="dxa"/>
            </w:tcMar>
            <w:vAlign w:val="bottom"/>
          </w:tcPr>
          <w:p w:rsidR="00000000" w:rsidDel="00000000" w:rsidP="00000000" w:rsidRDefault="00000000" w:rsidRPr="00000000" w14:paraId="00000081">
            <w:pPr>
              <w:pageBreakBefore w:val="0"/>
              <w:jc w:val="center"/>
              <w:rPr/>
            </w:pPr>
            <w:r w:rsidDel="00000000" w:rsidR="00000000" w:rsidRPr="00000000">
              <w:rPr>
                <w:rtl w:val="0"/>
              </w:rPr>
              <w:t xml:space="preserve">13 November, 2017</w:t>
            </w:r>
          </w:p>
        </w:tc>
        <w:tc>
          <w:tcPr>
            <w:vMerge w:val="restart"/>
            <w:tcMar>
              <w:top w:w="57.0" w:type="dxa"/>
              <w:bottom w:w="57.0" w:type="dxa"/>
            </w:tcMar>
            <w:vAlign w:val="center"/>
          </w:tcPr>
          <w:p w:rsidR="00000000" w:rsidDel="00000000" w:rsidP="00000000" w:rsidRDefault="00000000" w:rsidRPr="00000000" w14:paraId="00000082">
            <w:pPr>
              <w:pageBreakBefore w:val="0"/>
              <w:jc w:val="right"/>
              <w:rPr>
                <w:b w:val="1"/>
              </w:rPr>
            </w:pPr>
            <w:r w:rsidDel="00000000" w:rsidR="00000000" w:rsidRPr="00000000">
              <w:rPr>
                <w:b w:val="1"/>
                <w:rtl w:val="0"/>
              </w:rPr>
              <w:t xml:space="preserve">Prepared</w:t>
            </w:r>
          </w:p>
        </w:tc>
        <w:tc>
          <w:tcPr>
            <w:gridSpan w:val="2"/>
            <w:shd w:fill="ff9900" w:val="clear"/>
            <w:tcMar>
              <w:top w:w="57.0" w:type="dxa"/>
              <w:bottom w:w="57.0" w:type="dxa"/>
            </w:tcMar>
            <w:vAlign w:val="center"/>
          </w:tcPr>
          <w:p w:rsidR="00000000" w:rsidDel="00000000" w:rsidP="00000000" w:rsidRDefault="00000000" w:rsidRPr="00000000" w14:paraId="00000083">
            <w:pPr>
              <w:pageBreakBefore w:val="0"/>
              <w:rPr>
                <w:b w:val="1"/>
              </w:rPr>
            </w:pPr>
            <w:r w:rsidDel="00000000" w:rsidR="00000000" w:rsidRPr="00000000">
              <w:rPr>
                <w:rtl w:val="0"/>
              </w:rPr>
            </w:r>
          </w:p>
        </w:tc>
      </w:tr>
      <w:tr>
        <w:trPr>
          <w:cantSplit w:val="0"/>
          <w:trHeight w:val="420" w:hRule="atLeast"/>
          <w:tblHeader w:val="0"/>
        </w:trPr>
        <w:tc>
          <w:tcPr>
            <w:vMerge w:val="continue"/>
            <w:tcMar>
              <w:top w:w="57.0" w:type="dxa"/>
              <w:bottom w:w="57.0" w:type="dxa"/>
            </w:tcMar>
            <w:vAlign w:val="bottom"/>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bottom"/>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center"/>
          </w:tcPr>
          <w:p w:rsidR="00000000" w:rsidDel="00000000" w:rsidP="00000000" w:rsidRDefault="00000000" w:rsidRPr="00000000" w14:paraId="00000087">
            <w:pPr>
              <w:pageBreakBefore w:val="0"/>
              <w:rPr>
                <w:b w:val="1"/>
              </w:rPr>
            </w:pPr>
            <w:r w:rsidDel="00000000" w:rsidR="00000000" w:rsidRPr="00000000">
              <w:rPr>
                <w:rtl w:val="0"/>
              </w:rPr>
            </w:r>
          </w:p>
          <w:p w:rsidR="00000000" w:rsidDel="00000000" w:rsidP="00000000" w:rsidRDefault="00000000" w:rsidRPr="00000000" w14:paraId="00000088">
            <w:pPr>
              <w:pageBreakBefore w:val="0"/>
              <w:rPr/>
            </w:pPr>
            <w:r w:rsidDel="00000000" w:rsidR="00000000" w:rsidRPr="00000000">
              <w:rPr>
                <w:rtl w:val="0"/>
              </w:rPr>
            </w:r>
          </w:p>
          <w:p w:rsidR="00000000" w:rsidDel="00000000" w:rsidP="00000000" w:rsidRDefault="00000000" w:rsidRPr="00000000" w14:paraId="00000089">
            <w:pPr>
              <w:pageBreakBefore w:val="0"/>
              <w:rPr/>
            </w:pPr>
            <w:r w:rsidDel="00000000" w:rsidR="00000000" w:rsidRPr="00000000">
              <w:rPr>
                <w:rtl w:val="0"/>
              </w:rPr>
            </w:r>
          </w:p>
        </w:tc>
        <w:tc>
          <w:tcPr>
            <w:gridSpan w:val="2"/>
            <w:shd w:fill="fff2cc" w:val="clear"/>
            <w:vAlign w:val="center"/>
          </w:tcPr>
          <w:p w:rsidR="00000000" w:rsidDel="00000000" w:rsidP="00000000" w:rsidRDefault="00000000" w:rsidRPr="00000000" w14:paraId="0000008A">
            <w:pPr>
              <w:pageBreakBefore w:val="0"/>
              <w:jc w:val="center"/>
              <w:rPr/>
            </w:pPr>
            <w:r w:rsidDel="00000000" w:rsidR="00000000" w:rsidRPr="00000000">
              <w:rPr>
                <w:rtl w:val="0"/>
              </w:rPr>
              <w:t xml:space="preserve">István GERESDI  PhD</w:t>
            </w:r>
          </w:p>
          <w:p w:rsidR="00000000" w:rsidDel="00000000" w:rsidP="00000000" w:rsidRDefault="00000000" w:rsidRPr="00000000" w14:paraId="0000008B">
            <w:pPr>
              <w:pageBreakBefore w:val="0"/>
              <w:jc w:val="center"/>
              <w:rPr/>
            </w:pPr>
            <w:r w:rsidDel="00000000" w:rsidR="00000000" w:rsidRPr="00000000">
              <w:rPr>
                <w:rtl w:val="0"/>
              </w:rPr>
              <w:t xml:space="preserve">instructor-in-charge</w:t>
            </w:r>
          </w:p>
        </w:tc>
      </w:tr>
      <w:tr>
        <w:trPr>
          <w:cantSplit w:val="0"/>
          <w:tblHeader w:val="0"/>
        </w:trPr>
        <w:tc>
          <w:tcPr>
            <w:gridSpan w:val="3"/>
            <w:vMerge w:val="restart"/>
            <w:tcMar>
              <w:top w:w="57.0" w:type="dxa"/>
              <w:bottom w:w="57.0" w:type="dxa"/>
            </w:tcMar>
            <w:vAlign w:val="center"/>
          </w:tcPr>
          <w:p w:rsidR="00000000" w:rsidDel="00000000" w:rsidP="00000000" w:rsidRDefault="00000000" w:rsidRPr="00000000" w14:paraId="0000008D">
            <w:pPr>
              <w:pageBreakBefore w:val="0"/>
              <w:jc w:val="right"/>
              <w:rPr>
                <w:b w:val="1"/>
              </w:rPr>
            </w:pPr>
            <w:r w:rsidDel="00000000" w:rsidR="00000000" w:rsidRPr="00000000">
              <w:rPr>
                <w:b w:val="1"/>
                <w:rtl w:val="0"/>
              </w:rPr>
              <w:t xml:space="preserve">Endorsed </w:t>
            </w:r>
          </w:p>
        </w:tc>
        <w:tc>
          <w:tcPr>
            <w:gridSpan w:val="2"/>
            <w:shd w:fill="ff0000" w:val="clear"/>
            <w:tcMar>
              <w:top w:w="57.0" w:type="dxa"/>
              <w:bottom w:w="57.0" w:type="dxa"/>
            </w:tcMar>
            <w:vAlign w:val="center"/>
          </w:tcPr>
          <w:p w:rsidR="00000000" w:rsidDel="00000000" w:rsidP="00000000" w:rsidRDefault="00000000" w:rsidRPr="00000000" w14:paraId="00000090">
            <w:pPr>
              <w:pageBreakBefore w:val="0"/>
              <w:rPr>
                <w:b w:val="1"/>
              </w:rPr>
            </w:pPr>
            <w:r w:rsidDel="00000000" w:rsidR="00000000" w:rsidRPr="00000000">
              <w:rPr>
                <w:rtl w:val="0"/>
              </w:rPr>
            </w:r>
          </w:p>
        </w:tc>
      </w:tr>
      <w:tr>
        <w:trPr>
          <w:cantSplit w:val="0"/>
          <w:trHeight w:val="160" w:hRule="atLeast"/>
          <w:tblHeader w:val="0"/>
        </w:trPr>
        <w:tc>
          <w:tcPr>
            <w:gridSpan w:val="3"/>
            <w:vMerge w:val="continue"/>
            <w:tcMar>
              <w:top w:w="57.0" w:type="dxa"/>
              <w:bottom w:w="57.0" w:type="dxa"/>
            </w:tcMar>
            <w:vAlign w:val="center"/>
          </w:tcPr>
          <w:p w:rsidR="00000000" w:rsidDel="00000000" w:rsidP="00000000" w:rsidRDefault="00000000" w:rsidRPr="00000000" w14:paraId="00000092">
            <w:pPr>
              <w:pageBreakBefore w:val="0"/>
              <w:rPr>
                <w:b w:val="1"/>
              </w:rPr>
            </w:pPr>
            <w:r w:rsidDel="00000000" w:rsidR="00000000" w:rsidRPr="00000000">
              <w:rPr>
                <w:rtl w:val="0"/>
              </w:rPr>
            </w:r>
          </w:p>
        </w:tc>
        <w:tc>
          <w:tcPr>
            <w:gridSpan w:val="2"/>
            <w:shd w:fill="fff2cc" w:val="clear"/>
            <w:vAlign w:val="center"/>
          </w:tcPr>
          <w:p w:rsidR="00000000" w:rsidDel="00000000" w:rsidP="00000000" w:rsidRDefault="00000000" w:rsidRPr="00000000" w14:paraId="00000095">
            <w:pPr>
              <w:pageBreakBefore w:val="0"/>
              <w:jc w:val="center"/>
              <w:rPr>
                <w:b w:val="1"/>
              </w:rPr>
            </w:pPr>
            <w:r w:rsidDel="00000000" w:rsidR="00000000" w:rsidRPr="00000000">
              <w:rPr>
                <w:rtl w:val="0"/>
              </w:rPr>
              <w:t xml:space="preserve">András TRÓCSÁNYI PhD</w:t>
              <w:br w:type="textWrapping"/>
              <w:t xml:space="preserve">leader of the program</w:t>
            </w:r>
            <w:r w:rsidDel="00000000" w:rsidR="00000000" w:rsidRPr="00000000">
              <w:rPr>
                <w:rtl w:val="0"/>
              </w:rPr>
            </w:r>
          </w:p>
        </w:tc>
      </w:tr>
    </w:tbl>
    <w:p w:rsidR="00000000" w:rsidDel="00000000" w:rsidP="00000000" w:rsidRDefault="00000000" w:rsidRPr="00000000" w14:paraId="00000097">
      <w:pPr>
        <w:pageBreakBefore w:val="0"/>
        <w:rPr/>
      </w:pPr>
      <w:r w:rsidDel="00000000" w:rsidR="00000000" w:rsidRPr="00000000">
        <w:rPr>
          <w:rtl w:val="0"/>
        </w:rPr>
      </w:r>
    </w:p>
    <w:sectPr>
      <w:headerReference r:id="rId6" w:type="default"/>
      <w:pgSz w:h="16838" w:w="11906" w:orient="portrait"/>
      <w:pgMar w:bottom="567" w:top="1134" w:left="1418" w:right="1418"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Georgia"/>
  <w:font w:name="Times New Roman"/>
  <w:font w:name="Old Standard TT">
    <w:embedRegular w:fontKey="{00000000-0000-0000-0000-000000000000}" r:id="rId1" w:subsetted="0"/>
    <w:embedBold w:fontKey="{00000000-0000-0000-0000-000000000000}" r:id="rId2" w:subsetted="0"/>
    <w:embedItalic w:fontKey="{00000000-0000-0000-0000-000000000000}" r:id="rId3"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6" w:line="276" w:lineRule="auto"/>
      <w:ind w:left="0" w:right="0" w:firstLine="0"/>
      <w:jc w:val="left"/>
      <w:rPr/>
    </w:pPr>
    <w:r w:rsidDel="00000000" w:rsidR="00000000" w:rsidRPr="00000000">
      <w:rPr>
        <w:rtl w:val="0"/>
      </w:rPr>
    </w:r>
  </w:p>
  <w:tbl>
    <w:tblPr>
      <w:tblStyle w:val="Table2"/>
      <w:tblW w:w="9212.0" w:type="dxa"/>
      <w:jc w:val="left"/>
      <w:tblInd w:w="0.0" w:type="dxa"/>
      <w:tblBorders>
        <w:top w:color="000000" w:space="0" w:sz="12" w:val="single"/>
        <w:left w:color="000000" w:space="0" w:sz="12" w:val="single"/>
        <w:bottom w:color="000000" w:space="0" w:sz="12" w:val="single"/>
        <w:right w:color="000000" w:space="0" w:sz="12" w:val="single"/>
        <w:insideH w:color="000000" w:space="0" w:sz="4" w:val="single"/>
        <w:insideV w:color="000000" w:space="0" w:sz="4" w:val="single"/>
      </w:tblBorders>
      <w:tblLayout w:type="fixed"/>
      <w:tblLook w:val="0000"/>
    </w:tblPr>
    <w:tblGrid>
      <w:gridCol w:w="2622"/>
      <w:gridCol w:w="3969"/>
      <w:gridCol w:w="2621"/>
      <w:tblGridChange w:id="0">
        <w:tblGrid>
          <w:gridCol w:w="2622"/>
          <w:gridCol w:w="3969"/>
          <w:gridCol w:w="2621"/>
        </w:tblGrid>
      </w:tblGridChange>
    </w:tblGrid>
    <w:tr>
      <w:trPr>
        <w:cantSplit w:val="0"/>
        <w:tblHeader w:val="0"/>
      </w:trPr>
      <w:tc>
        <w:tcPr>
          <w:tcBorders>
            <w:top w:color="000000" w:space="0" w:sz="12" w:val="single"/>
            <w:bottom w:color="000000" w:space="0" w:sz="12" w:val="single"/>
          </w:tcBorders>
          <w:vAlign w:val="center"/>
        </w:tcPr>
        <w:p w:rsidR="00000000" w:rsidDel="00000000" w:rsidP="00000000" w:rsidRDefault="00000000" w:rsidRPr="00000000" w14:paraId="00000099">
          <w:pPr>
            <w:pStyle w:val="Heading4"/>
            <w:pageBreakBefore w:val="0"/>
            <w:rPr/>
          </w:pPr>
          <w:r w:rsidDel="00000000" w:rsidR="00000000" w:rsidRPr="00000000">
            <w:rPr>
              <w:rtl w:val="0"/>
            </w:rPr>
            <w:t xml:space="preserve">UP FS</w:t>
          </w:r>
        </w:p>
      </w:tc>
      <w:tc>
        <w:tcPr>
          <w:tcBorders>
            <w:top w:color="000000" w:space="0" w:sz="12" w:val="single"/>
            <w:bottom w:color="000000" w:space="0" w:sz="12" w:val="single"/>
          </w:tcBorders>
          <w:vAlign w:val="center"/>
        </w:tcPr>
        <w:p w:rsidR="00000000" w:rsidDel="00000000" w:rsidP="00000000" w:rsidRDefault="00000000" w:rsidRPr="00000000" w14:paraId="0000009A">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Course description</w:t>
          </w:r>
          <w:r w:rsidDel="00000000" w:rsidR="00000000" w:rsidRPr="00000000">
            <w:rPr>
              <w:rtl w:val="0"/>
            </w:rPr>
          </w:r>
        </w:p>
      </w:tc>
      <w:tc>
        <w:tcPr>
          <w:tcBorders>
            <w:top w:color="000000" w:space="0" w:sz="12" w:val="single"/>
            <w:bottom w:color="000000" w:space="0" w:sz="12" w:val="single"/>
          </w:tcBorders>
          <w:vAlign w:val="center"/>
        </w:tcPr>
        <w:p w:rsidR="00000000" w:rsidDel="00000000" w:rsidP="00000000" w:rsidRDefault="00000000" w:rsidRPr="00000000" w14:paraId="0000009B">
          <w:pPr>
            <w:pageBreakBefore w:val="0"/>
            <w:jc w:val="right"/>
            <w:rPr/>
          </w:pPr>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t xml:space="preserve">/</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2">
    <w:lvl w:ilvl="0">
      <w:start w:val="1"/>
      <w:numFmt w:val="decimal"/>
      <w:lvlText w:val="Week %1"/>
      <w:lvlJc w:val="left"/>
      <w:pPr>
        <w:ind w:left="0" w:firstLine="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spacing w:after="60" w:before="240" w:lineRule="auto"/>
      <w:ind w:left="0" w:firstLine="0"/>
    </w:pPr>
    <w:rPr>
      <w:rFonts w:ascii="Arial" w:cs="Arial" w:eastAsia="Arial" w:hAnsi="Arial"/>
      <w:b w:val="1"/>
      <w:sz w:val="28"/>
      <w:szCs w:val="28"/>
    </w:rPr>
  </w:style>
  <w:style w:type="paragraph" w:styleId="Heading2">
    <w:name w:val="heading 2"/>
    <w:basedOn w:val="Normal"/>
    <w:next w:val="Normal"/>
    <w:pPr>
      <w:keepNext w:val="1"/>
      <w:pageBreakBefore w:val="0"/>
      <w:spacing w:after="60" w:before="240" w:lineRule="auto"/>
      <w:ind w:left="0" w:firstLine="0"/>
    </w:pPr>
    <w:rPr>
      <w:rFonts w:ascii="Calibri" w:cs="Calibri" w:eastAsia="Calibri" w:hAnsi="Calibri"/>
      <w:b w:val="1"/>
      <w:i w:val="1"/>
      <w:sz w:val="28"/>
      <w:szCs w:val="28"/>
    </w:rPr>
  </w:style>
  <w:style w:type="paragraph" w:styleId="Heading3">
    <w:name w:val="heading 3"/>
    <w:basedOn w:val="Normal"/>
    <w:next w:val="Normal"/>
    <w:pPr>
      <w:keepNext w:val="1"/>
      <w:pageBreakBefore w:val="0"/>
      <w:spacing w:after="60" w:before="240" w:lineRule="auto"/>
      <w:ind w:left="720" w:hanging="432"/>
    </w:pPr>
    <w:rPr>
      <w:rFonts w:ascii="Calibri" w:cs="Calibri" w:eastAsia="Calibri" w:hAnsi="Calibri"/>
      <w:b w:val="1"/>
      <w:sz w:val="26"/>
      <w:szCs w:val="26"/>
    </w:rPr>
  </w:style>
  <w:style w:type="paragraph" w:styleId="Heading4">
    <w:name w:val="heading 4"/>
    <w:basedOn w:val="Normal"/>
    <w:next w:val="Normal"/>
    <w:pPr>
      <w:keepNext w:val="1"/>
      <w:pageBreakBefore w:val="0"/>
      <w:ind w:left="864" w:hanging="144.00000000000006"/>
      <w:jc w:val="center"/>
    </w:pPr>
    <w:rPr>
      <w:b w:val="1"/>
      <w:sz w:val="32"/>
      <w:szCs w:val="32"/>
    </w:rPr>
  </w:style>
  <w:style w:type="paragraph" w:styleId="Heading5">
    <w:name w:val="heading 5"/>
    <w:basedOn w:val="Normal"/>
    <w:next w:val="Normal"/>
    <w:pPr>
      <w:pageBreakBefore w:val="0"/>
      <w:spacing w:after="60" w:before="240" w:lineRule="auto"/>
      <w:ind w:left="1008" w:hanging="432"/>
    </w:pPr>
    <w:rPr>
      <w:rFonts w:ascii="Cambria" w:cs="Cambria" w:eastAsia="Cambria" w:hAnsi="Cambria"/>
      <w:b w:val="1"/>
      <w:i w:val="1"/>
      <w:sz w:val="26"/>
      <w:szCs w:val="26"/>
    </w:rPr>
  </w:style>
  <w:style w:type="paragraph" w:styleId="Heading6">
    <w:name w:val="heading 6"/>
    <w:basedOn w:val="Normal"/>
    <w:next w:val="Normal"/>
    <w:pPr>
      <w:pageBreakBefore w:val="0"/>
      <w:spacing w:after="60" w:before="240" w:lineRule="auto"/>
      <w:ind w:left="1152" w:hanging="432"/>
    </w:pPr>
    <w:rPr>
      <w:rFonts w:ascii="Cambria" w:cs="Cambria" w:eastAsia="Cambria" w:hAnsi="Cambria"/>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ldStandardTT-regular.ttf"/><Relationship Id="rId2" Type="http://schemas.openxmlformats.org/officeDocument/2006/relationships/font" Target="fonts/OldStandardTT-bold.ttf"/><Relationship Id="rId3" Type="http://schemas.openxmlformats.org/officeDocument/2006/relationships/font" Target="fonts/OldStandardTT-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