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222.0" w:type="dxa"/>
        <w:jc w:val="left"/>
        <w:tblInd w:w="-75.0" w:type="dxa"/>
        <w:tblLayout w:type="fixed"/>
        <w:tblLook w:val="0000"/>
      </w:tblPr>
      <w:tblGrid>
        <w:gridCol w:w="2303"/>
        <w:gridCol w:w="2303"/>
        <w:gridCol w:w="1418"/>
        <w:gridCol w:w="1984"/>
        <w:gridCol w:w="1204"/>
        <w:gridCol w:w="10"/>
        <w:tblGridChange w:id="0">
          <w:tblGrid>
            <w:gridCol w:w="2303"/>
            <w:gridCol w:w="2303"/>
            <w:gridCol w:w="1418"/>
            <w:gridCol w:w="1984"/>
            <w:gridCol w:w="1204"/>
            <w:gridCol w:w="10"/>
          </w:tblGrid>
        </w:tblGridChange>
      </w:tblGrid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1. Course title:</w:t>
            </w:r>
            <w:r w:rsidDel="00000000" w:rsidR="00000000" w:rsidRPr="00000000">
              <w:rPr>
                <w:rtl w:val="0"/>
              </w:rPr>
              <w:t xml:space="preserve"> Calculus I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2. Code: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3. Type (lecture, practice etc.):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lecture + seminar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4. Contact hours: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2+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per week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5. Number of credits (ECTS):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6. Preliminary conditions (max. 3):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7. Announced: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☒fall semester, ☐spring semester, ☐both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8. Limit for participants: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10. Responsible teacher (faculty, institute and department):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708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Dr. Pap Margit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(Faculty of Science, Institute of </w:t>
            </w:r>
            <w:r w:rsidDel="00000000" w:rsidR="00000000" w:rsidRPr="00000000">
              <w:rPr>
                <w:rtl w:val="0"/>
              </w:rPr>
              <w:t xml:space="preserve">Mathematics and Informatics,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Department of </w:t>
            </w:r>
            <w:r w:rsidDel="00000000" w:rsidR="00000000" w:rsidRPr="00000000">
              <w:rPr>
                <w:rtl w:val="0"/>
              </w:rPr>
              <w:t xml:space="preserve"> Applied Mathematics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) 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11. Teacher(s) and percentage: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0" w:firstLine="0"/>
              <w:contextualSpacing w:val="0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%</w:t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tabs>
                <w:tab w:val="center" w:pos="4536"/>
                <w:tab w:val="right" w:pos="9072"/>
              </w:tabs>
              <w:spacing w:after="0" w:before="0" w:line="240" w:lineRule="auto"/>
              <w:ind w:left="0" w:right="0" w:firstLine="0"/>
              <w:contextualSpacing w:val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12. Language: </w:t>
            </w:r>
            <w:r w:rsidDel="00000000" w:rsidR="00000000" w:rsidRPr="00000000">
              <w:rPr>
                <w:rtl w:val="0"/>
              </w:rPr>
              <w:t xml:space="preserve">English</w:t>
            </w:r>
          </w:p>
        </w:tc>
      </w:tr>
      <w:t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13. Course objectives and/or learning outcomes: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Objectives: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The lecture intends to introduce students to the world of </w:t>
            </w:r>
            <w:r w:rsidDel="00000000" w:rsidR="00000000" w:rsidRPr="00000000">
              <w:rPr>
                <w:rtl w:val="0"/>
              </w:rPr>
              <w:t xml:space="preserve">calculus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. The purpose of the course is to </w:t>
            </w:r>
            <w:r w:rsidDel="00000000" w:rsidR="00000000" w:rsidRPr="00000000">
              <w:rPr>
                <w:rtl w:val="0"/>
              </w:rPr>
              <w:t xml:space="preserve">provide the students with the basic tools necessary to start comprehending the foundation underlying modern science and technology.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Learning outcomes: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 students completing the course will have </w:t>
            </w:r>
            <w:r w:rsidDel="00000000" w:rsidR="00000000" w:rsidRPr="00000000">
              <w:rPr>
                <w:rtl w:val="0"/>
              </w:rPr>
              <w:t xml:space="preserve">familiarity with questions and methods related to  that segment of the calculus that they are likely to encounter in their professional life.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14. Course outline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Boundedness, convergence and divergence of numerical sequences. Relation between boundedness and convergence.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Working with convergent sequences: sum, difference, product and ratio of convergent sequences.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Monotone sequences. Methods of finding limits. Estimating the speed of convergence.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>
                <w:u w:val="none"/>
              </w:rPr>
            </w:pPr>
            <w:r w:rsidDel="00000000" w:rsidR="00000000" w:rsidRPr="00000000">
              <w:rPr>
                <w:rtl w:val="0"/>
              </w:rPr>
              <w:t xml:space="preserve">Convergence and divergence of infinite series. Working with convergent series.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necessary condition of convergence, and a necessary and sufficient condition of convergence. A simple criterium for  convergence in case of series with positive terms: comparison test.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Simple criterion for convergence: the nth root and the ratio test, and their consequences. Absolute convergence and conditional convergence. Alternating series.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Series of functions. Polynomials and rational functions. Power series. Elementary functions.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Working with functions: sum, difference, product and ratio of functions. Composition of functions. Limits of functions at a given point and at infinity.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Working with limits of functions. Definition of irrational power. Useful function limits and methods of computing limits.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Continuity of functions. Working with continuous functions.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Definition of difference and difference ratio. Interpretation and application of the difference ratio in geometry, physics and chemistry. Operational rules of differentiation.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Working with differentiable functions: sum, difference, product and ratio of differentiable functions. Differentiation of composite functions. Derivative of elementary functions.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/>
              <w:contextualSpacing w:val="1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 Review of the material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15. Mid-semester works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There are two midterms: one in the 7th week and one in the 13th week.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16. Course requirements and grading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The semester ends with an 80 point written exam. The two midterms are worth 40-40 points, 80 points altogether. Depending on the average of these two scores, the grades are the following: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0%–33% fail (F)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34%–49% satisfactory (D)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50%–65% average (C)</w:t>
            </w:r>
          </w:p>
          <w:p w:rsidR="00000000" w:rsidDel="00000000" w:rsidP="00000000" w:rsidRDefault="00000000" w:rsidRPr="00000000">
            <w:pPr>
              <w:pBdr/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66%–81% good (B)</w:t>
            </w:r>
          </w:p>
          <w:p w:rsidR="00000000" w:rsidDel="00000000" w:rsidP="00000000" w:rsidRDefault="00000000" w:rsidRPr="00000000">
            <w:pPr>
              <w:pBdr/>
              <w:ind w:left="142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            82%–100% excellent (A)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17. List of readings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/>
              <w:ind w:left="720" w:hanging="360"/>
              <w:contextualSpacing w:val="1"/>
              <w:rPr/>
            </w:pPr>
            <w:r w:rsidDel="00000000" w:rsidR="00000000" w:rsidRPr="00000000">
              <w:rPr>
                <w:highlight w:val="white"/>
                <w:rtl w:val="0"/>
              </w:rPr>
              <w:t xml:space="preserve">Stewart, J., Calculus, Cengage Learning, 2015.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vertAlign w:val="baseline"/>
                <w:rtl w:val="0"/>
              </w:rPr>
              <w:t xml:space="preserve">18. Recommended texts, further readings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/>
              <w:ind w:left="720" w:hanging="36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Date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4 May, 2017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Prepared by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bottom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76" w:lineRule="auto"/>
              <w:ind w:left="0" w:right="0" w:firstLine="0"/>
              <w:contextualSpacing w:val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tabs>
                <w:tab w:val="center" w:pos="4536"/>
                <w:tab w:val="right" w:pos="9072"/>
              </w:tabs>
              <w:ind w:left="708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András B. Frigyik, PhD</w:t>
            </w:r>
          </w:p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responsible teacher</w:t>
            </w:r>
          </w:p>
        </w:tc>
      </w:tr>
      <w:tr>
        <w:trPr>
          <w:trHeight w:val="20" w:hRule="atLeast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righ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Endorsed by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0" w:hRule="atLeast"/>
        </w:trPr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/>
            <w:vAlign w:val="center"/>
          </w:tcPr>
          <w:p w:rsidR="00000000" w:rsidDel="00000000" w:rsidP="00000000" w:rsidRDefault="00000000" w:rsidRPr="00000000">
            <w:pPr>
              <w:pBdr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program supervisor </w:t>
            </w:r>
          </w:p>
        </w:tc>
      </w:tr>
    </w:tbl>
    <w:p w:rsidR="00000000" w:rsidDel="00000000" w:rsidP="00000000" w:rsidRDefault="00000000" w:rsidRPr="00000000">
      <w:pPr>
        <w:pBdr/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567" w:top="1134" w:left="1418" w:right="1418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Calibri"/>
  <w:font w:name="Cambria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keepNext w:val="0"/>
      <w:keepLines w:val="0"/>
      <w:widowControl w:val="0"/>
      <w:pBdr/>
      <w:spacing w:after="0" w:before="426" w:line="276" w:lineRule="auto"/>
      <w:ind w:left="0" w:right="0" w:firstLine="0"/>
      <w:contextualSpacing w:val="0"/>
      <w:jc w:val="left"/>
      <w:rPr/>
    </w:pPr>
    <w:r w:rsidDel="00000000" w:rsidR="00000000" w:rsidRPr="00000000">
      <w:rPr>
        <w:rtl w:val="0"/>
      </w:rPr>
    </w:r>
  </w:p>
  <w:tbl>
    <w:tblPr>
      <w:tblStyle w:val="Table2"/>
      <w:bidiVisual w:val="0"/>
      <w:tblW w:w="9242.0" w:type="dxa"/>
      <w:jc w:val="left"/>
      <w:tblInd w:w="-85.0" w:type="dxa"/>
      <w:tblLayout w:type="fixed"/>
      <w:tblLook w:val="0000"/>
    </w:tblPr>
    <w:tblGrid>
      <w:gridCol w:w="2622"/>
      <w:gridCol w:w="3969"/>
      <w:gridCol w:w="2651"/>
      <w:tblGridChange w:id="0">
        <w:tblGrid>
          <w:gridCol w:w="2622"/>
          <w:gridCol w:w="3969"/>
          <w:gridCol w:w="2651"/>
        </w:tblGrid>
      </w:tblGridChange>
    </w:tblGrid>
    <w:tr>
      <w:tc>
        <w:tcPr>
          <w:tcBorders>
            <w:top w:color="000000" w:space="0" w:sz="12" w:val="single"/>
            <w:left w:color="000000" w:space="0" w:sz="12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Style w:val="Heading4"/>
            <w:pBdr/>
            <w:contextualSpacing w:val="0"/>
            <w:rPr/>
          </w:pPr>
          <w:r w:rsidDel="00000000" w:rsidR="00000000" w:rsidRPr="00000000">
            <w:rPr>
              <w:rtl w:val="0"/>
            </w:rPr>
            <w:t xml:space="preserve">UP FS</w:t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keepNext w:val="1"/>
            <w:keepLines w:val="0"/>
            <w:widowControl w:val="0"/>
            <w:pBdr/>
            <w:spacing w:after="0" w:before="0" w:line="240" w:lineRule="auto"/>
            <w:ind w:left="0" w:right="0" w:firstLine="0"/>
            <w:contextualSpacing w:val="0"/>
            <w:jc w:val="center"/>
            <w:rPr>
              <w:rFonts w:ascii="Arial" w:cs="Arial" w:eastAsia="Arial" w:hAnsi="Arial"/>
              <w:b w:val="1"/>
              <w:i w:val="0"/>
              <w:smallCaps w:val="1"/>
              <w:strike w:val="0"/>
              <w:color w:val="000000"/>
              <w:sz w:val="28"/>
              <w:szCs w:val="28"/>
              <w:u w:val="none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vertAlign w:val="baseline"/>
              <w:rtl w:val="0"/>
            </w:rPr>
            <w:t xml:space="preserve">Course description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12" w:val="single"/>
            <w:left w:color="000000" w:space="0" w:sz="4" w:val="single"/>
            <w:bottom w:color="000000" w:space="0" w:sz="12" w:val="single"/>
            <w:right w:color="000000" w:space="0" w:sz="12" w:val="single"/>
          </w:tcBorders>
          <w:shd w:fill="ffffff"/>
          <w:vAlign w:val="center"/>
        </w:tcPr>
        <w:p w:rsidR="00000000" w:rsidDel="00000000" w:rsidP="00000000" w:rsidRDefault="00000000" w:rsidRPr="00000000">
          <w:pPr>
            <w:pBdr/>
            <w:contextualSpacing w:val="0"/>
            <w:jc w:val="right"/>
            <w:rPr/>
          </w:pPr>
          <w:r w:rsidDel="00000000" w:rsidR="00000000" w:rsidRPr="00000000">
            <w:rPr>
              <w:rtl w:val="0"/>
            </w:rPr>
            <w:t xml:space="preserve">Page: </w:t>
          </w:r>
          <w:r w:rsidDel="00000000" w:rsidR="00000000" w:rsidRPr="00000000">
            <w:rPr/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  <w:t xml:space="preserve">/2</w:t>
          </w:r>
        </w:p>
      </w:tc>
    </w:tr>
  </w:tbl>
  <w:p w:rsidR="00000000" w:rsidDel="00000000" w:rsidP="00000000" w:rsidRDefault="00000000" w:rsidRPr="00000000">
    <w:pPr>
      <w:keepNext w:val="0"/>
      <w:keepLines w:val="0"/>
      <w:widowControl w:val="0"/>
      <w:pBdr/>
      <w:tabs>
        <w:tab w:val="center" w:pos="4536"/>
        <w:tab w:val="right" w:pos="9072"/>
      </w:tabs>
      <w:spacing w:after="0" w:before="0" w:line="240" w:lineRule="auto"/>
      <w:ind w:left="0" w:right="0" w:firstLine="0"/>
      <w:contextualSpacing w:val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"/>
        <w:szCs w:val="2"/>
        <w:u w:val="none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–"/>
      <w:lvlJc w:val="left"/>
      <w:pPr>
        <w:ind w:left="720" w:firstLine="36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decimal"/>
      <w:lvlText w:val="Week %1"/>
      <w:lvlJc w:val="left"/>
      <w:pPr>
        <w:ind w:left="0" w:firstLine="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firstLine="720"/>
      </w:pPr>
      <w:rPr/>
    </w:lvl>
    <w:lvl w:ilvl="2">
      <w:start w:val="1"/>
      <w:numFmt w:val="lowerRoman"/>
      <w:lvlText w:val="%3."/>
      <w:lvlJc w:val="right"/>
      <w:pPr>
        <w:ind w:left="1800" w:firstLine="1620"/>
      </w:pPr>
      <w:rPr/>
    </w:lvl>
    <w:lvl w:ilvl="3">
      <w:start w:val="1"/>
      <w:numFmt w:val="decimal"/>
      <w:lvlText w:val="%4."/>
      <w:lvlJc w:val="left"/>
      <w:pPr>
        <w:ind w:left="2520" w:firstLine="2160"/>
      </w:pPr>
      <w:rPr/>
    </w:lvl>
    <w:lvl w:ilvl="4">
      <w:start w:val="1"/>
      <w:numFmt w:val="lowerLetter"/>
      <w:lvlText w:val="%5."/>
      <w:lvlJc w:val="left"/>
      <w:pPr>
        <w:ind w:left="3240" w:firstLine="2880"/>
      </w:pPr>
      <w:rPr/>
    </w:lvl>
    <w:lvl w:ilvl="5">
      <w:start w:val="1"/>
      <w:numFmt w:val="lowerRoman"/>
      <w:lvlText w:val="%6."/>
      <w:lvlJc w:val="right"/>
      <w:pPr>
        <w:ind w:left="3960" w:firstLine="3780"/>
      </w:pPr>
      <w:rPr/>
    </w:lvl>
    <w:lvl w:ilvl="6">
      <w:start w:val="1"/>
      <w:numFmt w:val="decimal"/>
      <w:lvlText w:val="%7."/>
      <w:lvlJc w:val="left"/>
      <w:pPr>
        <w:ind w:left="4680" w:firstLine="4320"/>
      </w:pPr>
      <w:rPr/>
    </w:lvl>
    <w:lvl w:ilvl="7">
      <w:start w:val="1"/>
      <w:numFmt w:val="lowerLetter"/>
      <w:lvlText w:val="%8."/>
      <w:lvlJc w:val="left"/>
      <w:pPr>
        <w:ind w:left="5400" w:firstLine="5040"/>
      </w:pPr>
      <w:rPr/>
    </w:lvl>
    <w:lvl w:ilvl="8">
      <w:start w:val="1"/>
      <w:numFmt w:val="lowerRoman"/>
      <w:lvlText w:val="%9."/>
      <w:lvlJc w:val="right"/>
      <w:pPr>
        <w:ind w:left="6120" w:firstLine="5940"/>
      </w:pPr>
      <w:rPr/>
    </w:lvl>
  </w:abstractNum>
  <w:abstractNum w:abstractNumId="4">
    <w:lvl w:ilvl="0">
      <w:start w:val="1"/>
      <w:numFmt w:val="decimal"/>
      <w:lvlText w:val="[%1]"/>
      <w:lvlJc w:val="left"/>
      <w:pPr>
        <w:ind w:left="720" w:firstLine="36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vertAlign w:val="baseline"/>
      </w:rPr>
    </w:rPrDefault>
    <w:pPrDefault>
      <w:pPr>
        <w:keepNext w:val="0"/>
        <w:keepLines w:val="0"/>
        <w:widowControl w:val="0"/>
        <w:pBdr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1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widowControl w:val="0"/>
      <w:pBdr/>
      <w:spacing w:after="60" w:before="240" w:line="240" w:lineRule="auto"/>
      <w:ind w:left="720" w:right="0" w:hanging="43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0"/>
      <w:widowControl w:val="0"/>
      <w:pBdr/>
      <w:spacing w:after="0" w:before="0" w:line="240" w:lineRule="auto"/>
      <w:ind w:left="864" w:right="0" w:hanging="144.00000000000006"/>
      <w:jc w:val="center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008" w:right="0" w:hanging="432"/>
      <w:jc w:val="left"/>
    </w:pPr>
    <w:rPr>
      <w:rFonts w:ascii="Cambria" w:cs="Cambria" w:eastAsia="Cambria" w:hAnsi="Cambria"/>
      <w:b w:val="1"/>
      <w:i w:val="1"/>
      <w:smallCaps w:val="0"/>
      <w:strike w:val="0"/>
      <w:color w:val="000000"/>
      <w:sz w:val="26"/>
      <w:szCs w:val="26"/>
      <w:u w:val="none"/>
      <w:vertAlign w:val="baseline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pBdr/>
      <w:spacing w:after="60" w:before="240" w:line="240" w:lineRule="auto"/>
      <w:ind w:left="1152" w:right="0" w:hanging="432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7.0" w:type="dxa"/>
        <w:left w:w="70.0" w:type="dxa"/>
        <w:bottom w:w="57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